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5"/>
      </w:tblGrid>
      <w:tr w:rsidR="002D182E" w:rsidRPr="00B957C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25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5"/>
            </w:tblGrid>
            <w:tr w:rsidR="002D182E" w:rsidRPr="00680D6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D182E" w:rsidRPr="00680D6A" w:rsidRDefault="00680D6A" w:rsidP="002D182E">
                  <w:pPr>
                    <w:spacing w:after="0" w:line="240" w:lineRule="auto"/>
                    <w:rPr>
                      <w:rFonts w:ascii="Verdana" w:eastAsia="Times New Roman" w:hAnsi="Verdana" w:cs="Tahoma"/>
                      <w:b/>
                      <w:bCs/>
                      <w:color w:val="454545"/>
                      <w:sz w:val="21"/>
                      <w:szCs w:val="21"/>
                      <w:lang w:val="fr-CA" w:eastAsia="en-CA"/>
                    </w:rPr>
                  </w:pPr>
                  <w:r w:rsidRPr="00680D6A">
                    <w:rPr>
                      <w:rFonts w:ascii="Verdana" w:eastAsia="Times New Roman" w:hAnsi="Verdana" w:cs="Tahoma"/>
                      <w:b/>
                      <w:bCs/>
                      <w:color w:val="454545"/>
                      <w:sz w:val="21"/>
                      <w:szCs w:val="21"/>
                      <w:lang w:val="fr-CA" w:eastAsia="en-CA"/>
                    </w:rPr>
                    <w:t>Institut des Familles Solides</w:t>
                  </w:r>
                  <w:r>
                    <w:rPr>
                      <w:rFonts w:ascii="Verdana" w:eastAsia="Times New Roman" w:hAnsi="Verdana" w:cs="Tahoma"/>
                      <w:b/>
                      <w:bCs/>
                      <w:color w:val="454545"/>
                      <w:sz w:val="21"/>
                      <w:szCs w:val="21"/>
                      <w:lang w:val="fr-CA" w:eastAsia="en-CA"/>
                    </w:rPr>
                    <w:t xml:space="preserve"> </w:t>
                  </w:r>
                </w:p>
              </w:tc>
            </w:tr>
            <w:tr w:rsidR="002D182E" w:rsidRPr="002D182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D182E" w:rsidRPr="002D182E" w:rsidRDefault="002D182E" w:rsidP="002D182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eastAsia="en-CA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454545"/>
                      <w:sz w:val="20"/>
                      <w:szCs w:val="20"/>
                      <w:lang w:eastAsia="en-CA"/>
                    </w:rPr>
                    <w:drawing>
                      <wp:inline distT="0" distB="0" distL="0" distR="0">
                        <wp:extent cx="2381250" cy="952500"/>
                        <wp:effectExtent l="19050" t="0" r="0" b="0"/>
                        <wp:docPr id="1" name="Picture 1" descr="http://www.careerbeacon.com/_logo/13952_1_strongest_families_20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careerbeacon.com/_logo/13952_1_strongest_families_20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D182E" w:rsidRPr="00B957C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D182E" w:rsidRPr="00680D6A" w:rsidRDefault="00680D6A" w:rsidP="002D182E">
                  <w:pPr>
                    <w:spacing w:after="0" w:line="240" w:lineRule="auto"/>
                    <w:rPr>
                      <w:rFonts w:ascii="Verdana" w:eastAsia="Times New Roman" w:hAnsi="Verdana" w:cs="Tahoma"/>
                      <w:b/>
                      <w:bCs/>
                      <w:color w:val="454545"/>
                      <w:sz w:val="21"/>
                      <w:szCs w:val="21"/>
                      <w:lang w:val="fr-CA" w:eastAsia="en-CA"/>
                    </w:rPr>
                  </w:pPr>
                  <w:r w:rsidRPr="00680D6A">
                    <w:rPr>
                      <w:rFonts w:ascii="Verdana" w:eastAsia="Times New Roman" w:hAnsi="Verdana" w:cs="Tahoma"/>
                      <w:b/>
                      <w:bCs/>
                      <w:color w:val="454545"/>
                      <w:sz w:val="21"/>
                      <w:szCs w:val="21"/>
                      <w:lang w:val="fr-CA" w:eastAsia="en-CA"/>
                    </w:rPr>
                    <w:t>Emplacement : Municipalité régionale d'Halifax (Lower Sackville)</w:t>
                  </w:r>
                </w:p>
              </w:tc>
            </w:tr>
          </w:tbl>
          <w:p w:rsidR="002D182E" w:rsidRPr="00680D6A" w:rsidRDefault="002D182E" w:rsidP="002D182E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0"/>
                <w:szCs w:val="20"/>
                <w:lang w:val="fr-CA" w:eastAsia="en-CA"/>
              </w:rPr>
            </w:pPr>
          </w:p>
        </w:tc>
      </w:tr>
      <w:tr w:rsidR="002D182E" w:rsidRPr="00B957C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1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80"/>
            </w:tblGrid>
            <w:tr w:rsidR="002D182E" w:rsidRPr="00B957C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52605F" w:rsidRPr="00680D6A" w:rsidRDefault="00680D6A" w:rsidP="002D182E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color w:val="454545"/>
                      <w:sz w:val="20"/>
                      <w:lang w:val="fr-CA" w:eastAsia="en-CA"/>
                    </w:rPr>
                  </w:pPr>
                  <w:r w:rsidRPr="00680D6A">
                    <w:rPr>
                      <w:rFonts w:ascii="Tahoma" w:eastAsia="Times New Roman" w:hAnsi="Tahoma" w:cs="Tahoma"/>
                      <w:b/>
                      <w:bCs/>
                      <w:color w:val="454545"/>
                      <w:sz w:val="20"/>
                      <w:lang w:val="fr-CA" w:eastAsia="en-CA"/>
                    </w:rPr>
                    <w:t>ADJOINT ADMINISTRATIF / GESTIONNAIRE DES RENDEZ-VOUS</w:t>
                  </w:r>
                </w:p>
                <w:p w:rsidR="002D182E" w:rsidRPr="00680D6A" w:rsidRDefault="00680D6A" w:rsidP="002D182E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val="fr-CA" w:eastAsia="en-CA"/>
                    </w:rPr>
                  </w:pPr>
                  <w:r w:rsidRPr="00680D6A">
                    <w:rPr>
                      <w:rFonts w:ascii="Tahoma" w:eastAsia="Times New Roman" w:hAnsi="Tahoma" w:cs="Tahoma"/>
                      <w:b/>
                      <w:bCs/>
                      <w:color w:val="454545"/>
                      <w:sz w:val="20"/>
                      <w:lang w:val="fr-CA" w:eastAsia="en-CA"/>
                    </w:rPr>
                    <w:t>Résumé de l'emploi</w:t>
                  </w:r>
                </w:p>
                <w:p w:rsidR="0052605F" w:rsidRPr="00982283" w:rsidRDefault="00982283" w:rsidP="002D182E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val="fr-CA" w:eastAsia="en-CA"/>
                    </w:rPr>
                  </w:pPr>
                  <w:r w:rsidRPr="00977B58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val="fr-CA" w:eastAsia="en-CA"/>
                    </w:rPr>
                    <w:t>L</w:t>
                  </w:r>
                  <w:r w:rsidRPr="00E3772A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val="fr-CA" w:eastAsia="en-CA"/>
                    </w:rPr>
                    <w:t>'Institut des Familles Solides (</w:t>
                  </w:r>
                  <w:hyperlink r:id="rId6" w:history="1">
                    <w:r w:rsidRPr="00E3772A">
                      <w:rPr>
                        <w:rStyle w:val="Hyperlink"/>
                        <w:rFonts w:ascii="Tahoma" w:eastAsia="Times New Roman" w:hAnsi="Tahoma" w:cs="Tahoma"/>
                        <w:sz w:val="20"/>
                        <w:szCs w:val="20"/>
                        <w:lang w:val="fr-CA" w:eastAsia="en-CA"/>
                      </w:rPr>
                      <w:t>www.strongestfamilies.com</w:t>
                    </w:r>
                  </w:hyperlink>
                  <w:r w:rsidRPr="00E3772A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val="fr-CA" w:eastAsia="en-CA"/>
                    </w:rPr>
                    <w:t xml:space="preserve">) </w:t>
                  </w:r>
                  <w:r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val="fr-CA" w:eastAsia="en-CA"/>
                    </w:rPr>
                    <w:t xml:space="preserve">offre à distance des services de santé mentale aux enfants </w:t>
                  </w:r>
                  <w:r w:rsidR="00B957C7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val="fr-CA" w:eastAsia="en-CA"/>
                    </w:rPr>
                    <w:t>grâce à des</w:t>
                  </w:r>
                  <w:r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val="fr-CA" w:eastAsia="en-CA"/>
                    </w:rPr>
                    <w:t xml:space="preserve"> ressources éducatives et d</w:t>
                  </w:r>
                  <w:r w:rsidR="00B957C7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val="fr-CA" w:eastAsia="en-CA"/>
                    </w:rPr>
                    <w:t>u</w:t>
                  </w:r>
                  <w:r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val="fr-CA" w:eastAsia="en-CA"/>
                    </w:rPr>
                    <w:t xml:space="preserve"> soutien par téléphone. L'adjoint administratif / gestionnaire des rendez-vous facilite la prestation des programmes par la réception des </w:t>
                  </w:r>
                  <w:r w:rsidR="00C367E9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val="fr-CA" w:eastAsia="en-CA"/>
                    </w:rPr>
                    <w:t>renvois</w:t>
                  </w:r>
                  <w:r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val="fr-CA" w:eastAsia="en-CA"/>
                    </w:rPr>
                    <w:t>, la gestion des rendez-vous d'évaluation et l'exécution de travail général de bureau</w:t>
                  </w:r>
                  <w:r w:rsidR="0052605F" w:rsidRPr="00982283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val="fr-CA" w:eastAsia="en-CA"/>
                    </w:rPr>
                    <w:t xml:space="preserve">. </w:t>
                  </w:r>
                </w:p>
                <w:p w:rsidR="002D182E" w:rsidRPr="00982283" w:rsidRDefault="00982283" w:rsidP="002D182E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val="fr-CA" w:eastAsia="en-CA"/>
                    </w:rPr>
                  </w:pPr>
                  <w:r w:rsidRPr="00982283">
                    <w:rPr>
                      <w:rFonts w:ascii="Tahoma" w:eastAsia="Times New Roman" w:hAnsi="Tahoma" w:cs="Tahoma"/>
                      <w:b/>
                      <w:bCs/>
                      <w:color w:val="454545"/>
                      <w:sz w:val="20"/>
                      <w:lang w:val="fr-CA" w:eastAsia="en-CA"/>
                    </w:rPr>
                    <w:t>Tâches et responsabilités</w:t>
                  </w:r>
                </w:p>
                <w:p w:rsidR="0052605F" w:rsidRPr="00982283" w:rsidRDefault="0052605F" w:rsidP="0052605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val="fr-CA" w:eastAsia="en-CA"/>
                    </w:rPr>
                  </w:pPr>
                  <w:r w:rsidRPr="00982283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val="fr-CA" w:eastAsia="en-CA"/>
                    </w:rPr>
                    <w:t>Rec</w:t>
                  </w:r>
                  <w:r w:rsidR="00982283" w:rsidRPr="00982283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val="fr-CA" w:eastAsia="en-CA"/>
                    </w:rPr>
                    <w:t xml:space="preserve">evoir et lire les </w:t>
                  </w:r>
                  <w:r w:rsidR="00C367E9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val="fr-CA" w:eastAsia="en-CA"/>
                    </w:rPr>
                    <w:t>renvois</w:t>
                  </w:r>
                  <w:r w:rsidR="00982283" w:rsidRPr="00982283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val="fr-CA" w:eastAsia="en-CA"/>
                    </w:rPr>
                    <w:t xml:space="preserve"> qui sont envoyés par télécopieur ou par courriel</w:t>
                  </w:r>
                  <w:r w:rsidR="00982283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val="fr-CA" w:eastAsia="en-CA"/>
                    </w:rPr>
                    <w:t>.</w:t>
                  </w:r>
                </w:p>
                <w:p w:rsidR="0052605F" w:rsidRPr="00982283" w:rsidRDefault="00982283" w:rsidP="0052605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val="fr-CA" w:eastAsia="en-CA"/>
                    </w:rPr>
                  </w:pPr>
                  <w:r w:rsidRPr="00982283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val="fr-CA" w:eastAsia="en-CA"/>
                    </w:rPr>
                    <w:t xml:space="preserve">Faire la saisie des données des </w:t>
                  </w:r>
                  <w:r w:rsidR="00C367E9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val="fr-CA" w:eastAsia="en-CA"/>
                    </w:rPr>
                    <w:t>renvois</w:t>
                  </w:r>
                  <w:r w:rsidRPr="00982283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val="fr-CA" w:eastAsia="en-CA"/>
                    </w:rPr>
                    <w:t xml:space="preserve"> dans le syst</w:t>
                  </w:r>
                  <w:r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val="fr-CA" w:eastAsia="en-CA"/>
                    </w:rPr>
                    <w:t>ème électronique du programme des Familles Solides.</w:t>
                  </w:r>
                </w:p>
                <w:p w:rsidR="0052605F" w:rsidRPr="00982283" w:rsidRDefault="00982283" w:rsidP="0052605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val="fr-CA" w:eastAsia="en-CA"/>
                    </w:rPr>
                  </w:pPr>
                  <w:r w:rsidRPr="00982283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val="fr-CA" w:eastAsia="en-CA"/>
                    </w:rPr>
                    <w:t>Gérer les rendez-vous</w:t>
                  </w:r>
                  <w:r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val="fr-CA" w:eastAsia="en-CA"/>
                    </w:rPr>
                    <w:t xml:space="preserve"> du personnel d'évaluation </w:t>
                  </w:r>
                  <w:r w:rsidRPr="00982283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val="fr-CA" w:eastAsia="en-CA"/>
                    </w:rPr>
                    <w:t>avec les clients</w:t>
                  </w:r>
                  <w:r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val="fr-CA" w:eastAsia="en-CA"/>
                    </w:rPr>
                    <w:t>.</w:t>
                  </w:r>
                </w:p>
                <w:p w:rsidR="0052605F" w:rsidRPr="00982283" w:rsidRDefault="00982283" w:rsidP="0052605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val="fr-CA" w:eastAsia="en-CA"/>
                    </w:rPr>
                  </w:pPr>
                  <w:r w:rsidRPr="00982283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val="fr-CA" w:eastAsia="en-CA"/>
                    </w:rPr>
                    <w:t>Assure</w:t>
                  </w:r>
                  <w:r w:rsidR="00B957C7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val="fr-CA" w:eastAsia="en-CA"/>
                    </w:rPr>
                    <w:t>r</w:t>
                  </w:r>
                  <w:r w:rsidRPr="00982283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val="fr-CA" w:eastAsia="en-CA"/>
                    </w:rPr>
                    <w:t xml:space="preserve"> l'envoi de rappe</w:t>
                  </w:r>
                  <w:r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val="fr-CA" w:eastAsia="en-CA"/>
                    </w:rPr>
                    <w:t>ls (p. ex. par téléphone, par courriel ou par message texte).</w:t>
                  </w:r>
                </w:p>
                <w:p w:rsidR="0052605F" w:rsidRPr="0079194B" w:rsidRDefault="0079194B" w:rsidP="0052605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val="fr-CA" w:eastAsia="en-CA"/>
                    </w:rPr>
                  </w:pPr>
                  <w:r w:rsidRPr="0079194B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val="fr-CA" w:eastAsia="en-CA"/>
                    </w:rPr>
                    <w:t>Rédige</w:t>
                  </w:r>
                  <w:r w:rsidR="00B957C7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val="fr-CA" w:eastAsia="en-CA"/>
                    </w:rPr>
                    <w:t>r</w:t>
                  </w:r>
                  <w:r w:rsidRPr="0079194B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val="fr-CA" w:eastAsia="en-CA"/>
                    </w:rPr>
                    <w:t xml:space="preserve"> des lettres et assure</w:t>
                  </w:r>
                  <w:r w:rsidR="00B957C7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val="fr-CA" w:eastAsia="en-CA"/>
                    </w:rPr>
                    <w:t>r</w:t>
                  </w:r>
                  <w:bookmarkStart w:id="0" w:name="_GoBack"/>
                  <w:bookmarkEnd w:id="0"/>
                  <w:r w:rsidRPr="0079194B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val="fr-CA" w:eastAsia="en-CA"/>
                    </w:rPr>
                    <w:t xml:space="preserve"> un suivi pour confirmer que toutes les étapes ont bien été suivies (y compris l'exactitude de la lettre avant l'envoi de renseignements confidentiels)</w:t>
                  </w:r>
                  <w:r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val="fr-CA" w:eastAsia="en-CA"/>
                    </w:rPr>
                    <w:t>.</w:t>
                  </w:r>
                </w:p>
                <w:p w:rsidR="0052605F" w:rsidRPr="00C367E9" w:rsidRDefault="0079194B" w:rsidP="0052605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val="fr-CA" w:eastAsia="en-CA"/>
                    </w:rPr>
                  </w:pPr>
                  <w:r w:rsidRPr="0079194B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val="fr-CA" w:eastAsia="en-CA"/>
                    </w:rPr>
                    <w:t xml:space="preserve">Communiquer avec les agences pour confirmer la réception des </w:t>
                  </w:r>
                  <w:r w:rsidR="00C367E9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val="fr-CA" w:eastAsia="en-CA"/>
                    </w:rPr>
                    <w:t>renvois</w:t>
                  </w:r>
                  <w:r w:rsidRPr="0079194B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val="fr-CA" w:eastAsia="en-CA"/>
                    </w:rPr>
                    <w:t>, s'il y a lieu.</w:t>
                  </w:r>
                </w:p>
                <w:p w:rsidR="0052605F" w:rsidRPr="00C367E9" w:rsidRDefault="00C367E9" w:rsidP="0052605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val="fr-CA" w:eastAsia="en-CA"/>
                    </w:rPr>
                  </w:pPr>
                  <w:r w:rsidRPr="00C367E9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val="fr-CA" w:eastAsia="en-CA"/>
                    </w:rPr>
                    <w:t>Participe</w:t>
                  </w:r>
                  <w:r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val="fr-CA" w:eastAsia="en-CA"/>
                    </w:rPr>
                    <w:t>r</w:t>
                  </w:r>
                  <w:r w:rsidRPr="00C367E9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val="fr-CA" w:eastAsia="en-CA"/>
                    </w:rPr>
                    <w:t xml:space="preserve"> au contrôle de l'inventaire</w:t>
                  </w:r>
                  <w:r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val="fr-CA" w:eastAsia="en-CA"/>
                    </w:rPr>
                    <w:t>.</w:t>
                  </w:r>
                </w:p>
                <w:p w:rsidR="0052605F" w:rsidRPr="00C367E9" w:rsidRDefault="00C367E9" w:rsidP="0052605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val="fr-CA" w:eastAsia="en-CA"/>
                    </w:rPr>
                  </w:pPr>
                  <w:r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val="fr-CA" w:eastAsia="en-CA"/>
                    </w:rPr>
                    <w:t>Faire parvenir les ressources aux familles.</w:t>
                  </w:r>
                </w:p>
                <w:p w:rsidR="0052605F" w:rsidRPr="00C367E9" w:rsidRDefault="00C367E9" w:rsidP="0052605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val="fr-CA" w:eastAsia="en-CA"/>
                    </w:rPr>
                  </w:pPr>
                  <w:r w:rsidRPr="00C367E9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val="fr-CA" w:eastAsia="en-CA"/>
                    </w:rPr>
                    <w:t>Autre travail général de bureau, au besoin</w:t>
                  </w:r>
                  <w:r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val="fr-CA" w:eastAsia="en-CA"/>
                    </w:rPr>
                    <w:t>.</w:t>
                  </w:r>
                </w:p>
                <w:p w:rsidR="00650EE9" w:rsidRPr="00C367E9" w:rsidRDefault="00C367E9" w:rsidP="0052605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val="fr-CA" w:eastAsia="en-CA"/>
                    </w:rPr>
                  </w:pPr>
                  <w:r w:rsidRPr="00C367E9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val="fr-CA" w:eastAsia="en-CA"/>
                    </w:rPr>
                    <w:t>Le français comme langue maternelle est un atout</w:t>
                  </w:r>
                  <w:r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val="fr-CA" w:eastAsia="en-CA"/>
                    </w:rPr>
                    <w:t>.</w:t>
                  </w:r>
                </w:p>
                <w:p w:rsidR="002D182E" w:rsidRPr="00EF737E" w:rsidRDefault="00C367E9" w:rsidP="005E1A0E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val="fr-CA" w:eastAsia="en-CA"/>
                    </w:rPr>
                  </w:pPr>
                  <w:r w:rsidRPr="00C367E9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val="fr-CA" w:eastAsia="en-CA"/>
                    </w:rPr>
                    <w:t>Le titulaire de ce poste relève directement du chef d'é</w:t>
                  </w:r>
                  <w:r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val="fr-CA" w:eastAsia="en-CA"/>
                    </w:rPr>
                    <w:t>quipe d</w:t>
                  </w:r>
                  <w:r w:rsidR="00EF737E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val="fr-CA" w:eastAsia="en-CA"/>
                    </w:rPr>
                    <w:t>e l</w:t>
                  </w:r>
                  <w:r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val="fr-CA" w:eastAsia="en-CA"/>
                    </w:rPr>
                    <w:t>'évaluation et gestionnaire de l'évaluation. La personne choisie doit posséder des compétences exceptionnelles en matière de relations interpersonnelles et d'organisation, et doit faire preuve d'un esprit d'équipe</w:t>
                  </w:r>
                  <w:r w:rsidR="002D182E" w:rsidRPr="00EF737E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val="fr-CA" w:eastAsia="en-CA"/>
                    </w:rPr>
                    <w:t xml:space="preserve">. </w:t>
                  </w:r>
                </w:p>
                <w:p w:rsidR="002D182E" w:rsidRPr="00EF737E" w:rsidRDefault="00EF737E" w:rsidP="002D182E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val="fr-CA" w:eastAsia="en-CA"/>
                    </w:rPr>
                  </w:pPr>
                  <w:r w:rsidRPr="00EF737E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val="fr-CA" w:eastAsia="en-CA"/>
                    </w:rPr>
                    <w:t xml:space="preserve">Veuillez soumettre votre demande à </w:t>
                  </w:r>
                  <w:r w:rsidR="002D182E" w:rsidRPr="00EF737E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val="fr-CA" w:eastAsia="en-CA"/>
                    </w:rPr>
                    <w:t>:</w:t>
                  </w:r>
                </w:p>
                <w:p w:rsidR="002D182E" w:rsidRPr="00B957C7" w:rsidRDefault="00C97A1A" w:rsidP="00C97A1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val="fr-CA" w:eastAsia="en-CA"/>
                    </w:rPr>
                  </w:pPr>
                  <w:r w:rsidRPr="00B957C7">
                    <w:rPr>
                      <w:rFonts w:ascii="Tahoma" w:eastAsia="Times New Roman" w:hAnsi="Tahoma" w:cs="Tahoma"/>
                      <w:b/>
                      <w:bCs/>
                      <w:color w:val="454545"/>
                      <w:sz w:val="20"/>
                      <w:lang w:val="fr-CA" w:eastAsia="en-CA"/>
                    </w:rPr>
                    <w:t>info</w:t>
                  </w:r>
                  <w:r w:rsidR="002D182E" w:rsidRPr="00B957C7">
                    <w:rPr>
                      <w:rFonts w:ascii="Tahoma" w:eastAsia="Times New Roman" w:hAnsi="Tahoma" w:cs="Tahoma"/>
                      <w:b/>
                      <w:bCs/>
                      <w:color w:val="454545"/>
                      <w:sz w:val="20"/>
                      <w:lang w:val="fr-CA" w:eastAsia="en-CA"/>
                    </w:rPr>
                    <w:t>@strongestfamilies.com</w:t>
                  </w:r>
                  <w:r w:rsidR="002D182E" w:rsidRPr="00B957C7">
                    <w:rPr>
                      <w:rFonts w:ascii="Tahoma" w:eastAsia="Times New Roman" w:hAnsi="Tahoma" w:cs="Tahoma"/>
                      <w:b/>
                      <w:bCs/>
                      <w:color w:val="454545"/>
                      <w:sz w:val="20"/>
                      <w:szCs w:val="20"/>
                      <w:lang w:val="fr-CA" w:eastAsia="en-CA"/>
                    </w:rPr>
                    <w:br/>
                  </w:r>
                  <w:r w:rsidR="00EF737E" w:rsidRPr="00B957C7">
                    <w:rPr>
                      <w:rFonts w:ascii="Tahoma" w:eastAsia="Times New Roman" w:hAnsi="Tahoma" w:cs="Tahoma"/>
                      <w:b/>
                      <w:bCs/>
                      <w:color w:val="454545"/>
                      <w:sz w:val="20"/>
                      <w:lang w:val="fr-CA" w:eastAsia="en-CA"/>
                    </w:rPr>
                    <w:t xml:space="preserve">a/s de </w:t>
                  </w:r>
                  <w:r w:rsidR="002D182E" w:rsidRPr="00B957C7">
                    <w:rPr>
                      <w:rFonts w:ascii="Tahoma" w:eastAsia="Times New Roman" w:hAnsi="Tahoma" w:cs="Tahoma"/>
                      <w:b/>
                      <w:bCs/>
                      <w:color w:val="454545"/>
                      <w:sz w:val="20"/>
                      <w:lang w:val="fr-CA" w:eastAsia="en-CA"/>
                    </w:rPr>
                    <w:t xml:space="preserve">: </w:t>
                  </w:r>
                  <w:r w:rsidR="000F6E0F" w:rsidRPr="00B957C7">
                    <w:rPr>
                      <w:rFonts w:ascii="Tahoma" w:eastAsia="Times New Roman" w:hAnsi="Tahoma" w:cs="Tahoma"/>
                      <w:b/>
                      <w:bCs/>
                      <w:color w:val="454545"/>
                      <w:sz w:val="20"/>
                      <w:lang w:val="fr-CA" w:eastAsia="en-CA"/>
                    </w:rPr>
                    <w:t>Naomi LeBlanc</w:t>
                  </w:r>
                </w:p>
              </w:tc>
            </w:tr>
          </w:tbl>
          <w:p w:rsidR="002D182E" w:rsidRPr="00B957C7" w:rsidRDefault="002D182E" w:rsidP="002D182E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0"/>
                <w:szCs w:val="20"/>
                <w:lang w:val="fr-CA" w:eastAsia="en-CA"/>
              </w:rPr>
            </w:pPr>
          </w:p>
        </w:tc>
      </w:tr>
    </w:tbl>
    <w:p w:rsidR="00D153C5" w:rsidRPr="00B957C7" w:rsidRDefault="00D153C5">
      <w:pPr>
        <w:rPr>
          <w:lang w:val="fr-CA"/>
        </w:rPr>
      </w:pPr>
    </w:p>
    <w:sectPr w:rsidR="00D153C5" w:rsidRPr="00B957C7" w:rsidSect="00D153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3671C"/>
    <w:multiLevelType w:val="multilevel"/>
    <w:tmpl w:val="37DA0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fr-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2E"/>
    <w:rsid w:val="00086130"/>
    <w:rsid w:val="000F6E0F"/>
    <w:rsid w:val="001E70FD"/>
    <w:rsid w:val="002A0AEB"/>
    <w:rsid w:val="002D182E"/>
    <w:rsid w:val="00350406"/>
    <w:rsid w:val="003B1305"/>
    <w:rsid w:val="004B393D"/>
    <w:rsid w:val="0052605F"/>
    <w:rsid w:val="005E1A0E"/>
    <w:rsid w:val="005E6B2F"/>
    <w:rsid w:val="00616CB0"/>
    <w:rsid w:val="00650EE9"/>
    <w:rsid w:val="00680D6A"/>
    <w:rsid w:val="0079194B"/>
    <w:rsid w:val="007A7F8C"/>
    <w:rsid w:val="007B3878"/>
    <w:rsid w:val="008451BE"/>
    <w:rsid w:val="00982283"/>
    <w:rsid w:val="00AE127A"/>
    <w:rsid w:val="00B957C7"/>
    <w:rsid w:val="00C367E9"/>
    <w:rsid w:val="00C97A1A"/>
    <w:rsid w:val="00D153C5"/>
    <w:rsid w:val="00DF2351"/>
    <w:rsid w:val="00EF737E"/>
    <w:rsid w:val="00FC1BDE"/>
    <w:rsid w:val="00FD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38B6A"/>
  <w15:docId w15:val="{D3EC2C3C-54D0-4168-862A-55E5B06A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5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2D18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8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6B2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1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3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3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30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822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12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ongestfamilie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IWK Health Centre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pottpa</dc:creator>
  <cp:lastModifiedBy>Close, Melany</cp:lastModifiedBy>
  <cp:revision>7</cp:revision>
  <cp:lastPrinted>2016-01-19T13:59:00Z</cp:lastPrinted>
  <dcterms:created xsi:type="dcterms:W3CDTF">2017-03-17T17:50:00Z</dcterms:created>
  <dcterms:modified xsi:type="dcterms:W3CDTF">2017-03-19T20:34:00Z</dcterms:modified>
</cp:coreProperties>
</file>